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18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858" w:firstLineChars="20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企业招用人员职位表</w:t>
      </w:r>
    </w:p>
    <w:tbl>
      <w:tblPr>
        <w:tblStyle w:val="7"/>
        <w:tblW w:w="534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269"/>
        <w:gridCol w:w="1242"/>
        <w:gridCol w:w="3153"/>
        <w:gridCol w:w="733"/>
        <w:gridCol w:w="908"/>
        <w:gridCol w:w="1465"/>
        <w:gridCol w:w="892"/>
        <w:gridCol w:w="908"/>
        <w:gridCol w:w="1752"/>
        <w:gridCol w:w="1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tblHeader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eastAsia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达州国资工程建设有限公司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负责工程项目的全面管理工作；对工程项目进行有效的质量、进度、投资控制、合同管理；负责工程方面的现场检测等工作。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</w:t>
            </w:r>
            <w:r>
              <w:rPr>
                <w:rFonts w:hint="eastAsia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具有一级建造师职业资格者，可放宽至 40周岁以下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达州市云上智慧数字科技有限公司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投资专员岗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主要负责公司招商引资及投资项目评估、尽职调查、投资测算及投资方案制定、投资项目投后管理等工作。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3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达州市云上智慧数字科技有限公司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主要负责公司市场业务或建设项目的建设管理、现场施工等相关工作。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土木类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达州市云上智慧数字科技有限公司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综合事务岗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主要负责指导、实施教育培训、公司会务、接待等综合性管理工作。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0"/>
                <w:szCs w:val="20"/>
                <w:highlight w:val="none"/>
                <w:vertAlign w:val="baseline"/>
                <w:lang w:val="en-US" w:eastAsia="zh-CN"/>
              </w:rPr>
              <w:t>公共管理类、教育学类、工商管理类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四川云上创通科技有限公司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主要负责会议等活动筹备、商务公务接待、票据的核算及报销等日常办公事务的执行。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0"/>
                <w:szCs w:val="20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0"/>
                <w:szCs w:val="20"/>
                <w:highlight w:val="none"/>
                <w:vertAlign w:val="baseline"/>
                <w:lang w:val="en-US" w:eastAsia="zh-CN"/>
              </w:rPr>
              <w:t>公共管理类、教育学类、工商管理类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18"/>
                <w:szCs w:val="18"/>
                <w:highlight w:val="yellow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6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四川云上创通科技有限公司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法律事务岗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主要负责统筹公司法律审查、诉讼纠纷、信访维稳等工作。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0"/>
                <w:szCs w:val="20"/>
                <w:vertAlign w:val="baseline"/>
                <w:lang w:val="en-US" w:eastAsia="zh-CN"/>
              </w:rPr>
              <w:t>法学、法律文秘、知识产权、律师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18"/>
                <w:szCs w:val="18"/>
                <w:highlight w:val="yellow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7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达州市云曙科技有限公司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综合事务岗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主要负责会议等活动筹备、商务公务接待、票据的核算及报销等日常办公事务的执行。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0"/>
                <w:szCs w:val="20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0"/>
                <w:szCs w:val="20"/>
                <w:highlight w:val="none"/>
                <w:vertAlign w:val="baseline"/>
                <w:lang w:val="en-US" w:eastAsia="zh-CN"/>
              </w:rPr>
              <w:t>公共管理类、教育学类、工商管理类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18"/>
                <w:szCs w:val="18"/>
                <w:highlight w:val="yellow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701" w:right="1701" w:bottom="1134" w:left="1701" w:header="851" w:footer="1134" w:gutter="0"/>
          <w:pgNumType w:fmt="numberInDash"/>
          <w:cols w:space="0" w:num="1"/>
          <w:rtlGutter w:val="0"/>
          <w:docGrid w:type="linesAndChars" w:linePitch="292" w:charSpace="-2365"/>
        </w:sect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right="18" w:firstLine="199" w:firstLineChars="100"/>
        <w:rPr>
          <w:rFonts w:hint="eastAsia"/>
        </w:rPr>
      </w:pPr>
    </w:p>
    <w:p/>
    <w:sectPr>
      <w:pgSz w:w="11906" w:h="16838"/>
      <w:pgMar w:top="2098" w:right="1587" w:bottom="2098" w:left="1587" w:header="851" w:footer="1134" w:gutter="0"/>
      <w:pgNumType w:fmt="numberInDash"/>
      <w:cols w:space="0" w:num="1"/>
      <w:rtlGutter w:val="0"/>
      <w:docGrid w:type="linesAndChars" w:linePitch="287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9410" w:y="-196"/>
      <w:rPr>
        <w:rStyle w:val="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787" w:y="-196"/>
      <w:rPr>
        <w:rStyle w:val="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- 8 -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NGU5YTQ4ODE5ZjAwMjVlZGY4YWM4MGIyMTI4N2UifQ=="/>
  </w:docVars>
  <w:rsids>
    <w:rsidRoot w:val="162F2349"/>
    <w:rsid w:val="162F2349"/>
    <w:rsid w:val="27BE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autoRedefine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0"/>
    <w:rPr>
      <w:rFonts w:ascii="Calibri" w:hAnsi="Calibri"/>
    </w:r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31"/>
    <w:basedOn w:val="8"/>
    <w:autoRedefine/>
    <w:qFormat/>
    <w:uiPriority w:val="0"/>
    <w:rPr>
      <w:rFonts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2024-02-22T02:32:00Z</dcterms:created>
  <dc:creator>馋小兔</dc:creator>
  <cp:lastModifiedBy>Administrator</cp:lastModifiedBy>
  <dcterms:modified xsi:type="dcterms:W3CDTF">2024-02-22T11:26:08Z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94476FBE2AE34430AF5BAC45548A83F5_13</vt:lpwstr>
  </property>
</Properties>
</file>